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df2c3a6b59b404c429ff707a6a696c3d6aa39a"/>
    <w:p>
      <w:pPr>
        <w:pStyle w:val="Heading1"/>
      </w:pPr>
      <w:r>
        <w:rPr>
          <w:b/>
          <w:bCs/>
        </w:rPr>
        <w:t xml:space="preserve">The Lost Boy</w:t>
      </w:r>
      <w:r>
        <w:br/>
      </w:r>
      <w:r>
        <w:rPr>
          <w:i/>
          <w:iCs/>
        </w:rPr>
        <w:t xml:space="preserve">Dave Pelzer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climbed into garbage cans to hunt for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morsel</w:t>
      </w:r>
      <w:r>
        <w:rPr>
          <w:b/>
          <w:bCs/>
        </w:rPr>
        <w:t xml:space="preserve"> </w:t>
      </w:r>
      <w:r>
        <w:rPr>
          <w:b/>
          <w:bCs/>
        </w:rPr>
        <w:t xml:space="preserve">of food.</w:t>
      </w:r>
      <w:r>
        <w:br/>
      </w:r>
      <w:r>
        <w:t xml:space="preserve">    (a) small quantity</w:t>
      </w:r>
      <w:r>
        <w:br/>
      </w:r>
      <w:r>
        <w:t xml:space="preserve">    (b) wasted portion</w:t>
      </w:r>
      <w:r>
        <w:br/>
      </w:r>
      <w:r>
        <w:t xml:space="preserve">    (c) big chunk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closer The Mother came, the more her red face, filled with hatred,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a condition where the body cannot properly regulate blood sugar levels because it produces little or no insulin</w:t>
      </w:r>
      <w:r>
        <w:br/>
      </w:r>
      <w:r>
        <w:t xml:space="preserve">    (b) software that stops uninvited software from spreading between computers and causing damage to data and software</w:t>
      </w:r>
      <w:r>
        <w:br/>
      </w:r>
      <w:r>
        <w:t xml:space="preserve">    (c) view (a state where something can be seen clearly)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pocketed the change and turned my hunger off,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focusing</w:t>
      </w:r>
      <w:r>
        <w:rPr>
          <w:b/>
          <w:bCs/>
        </w:rPr>
        <w:t xml:space="preserve"> </w:t>
      </w:r>
      <w:r>
        <w:rPr>
          <w:b/>
          <w:bCs/>
        </w:rPr>
        <w:t xml:space="preserve">on shelter instead.</w:t>
      </w:r>
      <w:r>
        <w:br/>
      </w:r>
      <w:r>
        <w:t xml:space="preserve">    (a) concentrating</w:t>
      </w:r>
      <w:r>
        <w:br/>
      </w:r>
      <w:r>
        <w:t xml:space="preserve">    (b) going to the center</w:t>
      </w:r>
      <w:r>
        <w:br/>
      </w:r>
      <w:r>
        <w:t xml:space="preserve">    (c) adjusting a lens to make an image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Aunt Mary's my awkward sense of humor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 </w:t>
      </w:r>
      <w:r>
        <w:rPr>
          <w:b/>
          <w:bCs/>
        </w:rPr>
        <w:t xml:space="preserve">excitability made me popular with the older foster children.</w:t>
      </w:r>
      <w:r>
        <w:br/>
      </w:r>
      <w:r>
        <w:t xml:space="preserve">    (a) lacking experience or sophistication, and the understanding that comes from them -- often too trusting or optimistic</w:t>
      </w:r>
      <w:r>
        <w:br/>
      </w:r>
      <w:r>
        <w:t xml:space="preserve">    (b) the degree of being influenced by personal belief, feelings, or preferences (rather than being based purely upon fact)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usual,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quickly, and joined in the hunt whenever a child left.</w:t>
      </w:r>
      <w:r>
        <w:br/>
      </w:r>
      <w:r>
        <w:t xml:space="preserve">    (a) changed the environment</w:t>
      </w:r>
      <w:r>
        <w:br/>
      </w:r>
      <w:r>
        <w:t xml:space="preserve">    (b) gave up</w:t>
      </w:r>
      <w:r>
        <w:br/>
      </w:r>
      <w:r>
        <w:t xml:space="preserve">    (c) changed to fit into the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face became tight as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badgered</w:t>
      </w:r>
      <w:r>
        <w:rPr>
          <w:b/>
          <w:bCs/>
        </w:rPr>
        <w:t xml:space="preserve"> </w:t>
      </w:r>
      <w:r>
        <w:rPr>
          <w:b/>
          <w:bCs/>
        </w:rPr>
        <w:t xml:space="preserve">him relentlessly.</w:t>
      </w:r>
      <w:r>
        <w:br/>
      </w:r>
      <w:r>
        <w:t xml:space="preserve">    (a) with rises and falls in pitch</w:t>
      </w:r>
      <w:r>
        <w:br/>
      </w:r>
      <w:r>
        <w:t xml:space="preserve">    (b) embarrassed or self-conscious</w:t>
      </w:r>
      <w:r>
        <w:br/>
      </w:r>
      <w:r>
        <w:t xml:space="preserve">    (c) nagged or repeatedly bothered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John's mouth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quivered</w:t>
      </w:r>
      <w:r>
        <w:rPr>
          <w:b/>
          <w:bCs/>
        </w:rPr>
        <w:t xml:space="preserve">.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to shake or tremble slightly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took several blinks of my eyes for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that it was Lilian's face, and not Mother's, that I was gawking at.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rug-like artwork -- often hung on a wall for display</w:t>
      </w:r>
      <w:r>
        <w:br/>
      </w:r>
      <w:r>
        <w:t xml:space="preserve">    (c) understand -- especially to understand it completely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spoken with Ms. Gold, and we think your mother has somehow cooked up this plan—this institution thing—to somehow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validate</w:t>
      </w:r>
      <w:r>
        <w:rPr>
          <w:b/>
          <w:bCs/>
        </w:rPr>
        <w:t xml:space="preserve"> </w:t>
      </w:r>
      <w:r>
        <w:rPr>
          <w:b/>
          <w:bCs/>
        </w:rPr>
        <w:t xml:space="preserve">everything she's ever done to you.</w:t>
      </w:r>
      <w:r>
        <w:br/>
      </w:r>
      <w:r>
        <w:t xml:space="preserve">    (a) the right to run a local store or business under a big company’s name</w:t>
      </w:r>
      <w:r>
        <w:br/>
      </w:r>
      <w:r>
        <w:t xml:space="preserve">    (b) dry out by heat or excessive exposure to sunlight; or make very thirsty</w:t>
      </w:r>
      <w:r>
        <w:br/>
      </w:r>
      <w:r>
        <w:t xml:space="preserve">    (c) give evidence to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counselors write behavior reports on you that are turned in to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probation officer</w:t>
      </w:r>
      <w:r>
        <w:rPr>
          <w:b/>
          <w:bCs/>
        </w:rPr>
        <w:t xml:space="preserve">.</w:t>
      </w:r>
      <w:r>
        <w:br/>
      </w:r>
      <w:r>
        <w:t xml:space="preserve">    (a) a person who monitors someone mental health by interviewing them and checking in with others who have contact with them</w:t>
      </w:r>
      <w:r>
        <w:br/>
      </w:r>
      <w:r>
        <w:t xml:space="preserve">    (b) a person who monitors a criminal who does not have to be in prison as long as they demonstrate good behavior and obey special restrictions</w:t>
      </w:r>
      <w:r>
        <w:br/>
      </w:r>
      <w:r>
        <w:t xml:space="preserve">    (c) a person who monitors someone's health by checking that selected health measurements remain within specified ranges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Honor, while no direct corroboration has yet been made, the minor has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pattern of extreme dysfunctional behavior.</w:t>
      </w:r>
      <w:r>
        <w:br/>
      </w:r>
      <w:r>
        <w:t xml:space="preserve">    (a) accepted someone's membership though a special procedure such as a ceremony and/or period of instruction and/or test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demonstrated or known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"Prior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?" he asked, as he turned to my lawyer.</w:t>
      </w:r>
      <w:r>
        <w:br/>
      </w:r>
      <w:r>
        <w:t xml:space="preserve">    (a) a strong, firmly held belief</w:t>
      </w:r>
      <w:r>
        <w:br/>
      </w:r>
      <w:r>
        <w:t xml:space="preserve">    (b) calculates or judges too low</w:t>
      </w:r>
      <w:r>
        <w:br/>
      </w:r>
      <w:r>
        <w:t xml:space="preserve">    (c) not working or not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Thirty-four days later, I cried as I stuffed my collection of arts-and-crafts projects and the folders of schoolwork 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acquired</w:t>
      </w:r>
      <w:r>
        <w:rPr>
          <w:b/>
          <w:bCs/>
        </w:rPr>
        <w:t xml:space="preserve"> </w:t>
      </w:r>
      <w:r>
        <w:rPr>
          <w:b/>
          <w:bCs/>
        </w:rPr>
        <w:t xml:space="preserve">into a small cardboard box.</w:t>
      </w:r>
      <w:r>
        <w:br/>
      </w:r>
      <w:r>
        <w:t xml:space="preserve">    (a) obtained</w:t>
      </w:r>
      <w:r>
        <w:br/>
      </w:r>
      <w:r>
        <w:t xml:space="preserve">    (b) regretted</w:t>
      </w:r>
      <w:r>
        <w:br/>
      </w:r>
      <w:r>
        <w:t xml:space="preserve">    (c) lost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early afternoon I became so bored that I'd plop down in front of the television and watch Speed Racer cartoons. When I could not stand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animated</w:t>
      </w:r>
      <w:r>
        <w:rPr>
          <w:b/>
          <w:bCs/>
        </w:rPr>
        <w:t xml:space="preserve"> </w:t>
      </w:r>
      <w:r>
        <w:rPr>
          <w:b/>
          <w:bCs/>
        </w:rPr>
        <w:t xml:space="preserve">episode, I'd drag myself to my room and kill time by coloring in a coloring book she had given me.</w:t>
      </w:r>
      <w:r>
        <w:br/>
      </w:r>
      <w:r>
        <w:t xml:space="preserve">    (a) moving cartoon</w:t>
      </w:r>
      <w:r>
        <w:br/>
      </w:r>
      <w:r>
        <w:t xml:space="preserve">    (b) edited (to make shorter)</w:t>
      </w:r>
      <w:r>
        <w:br/>
      </w:r>
      <w:r>
        <w:t xml:space="preserve">    (c)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going to be all right? You're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prejudiced</w:t>
      </w:r>
      <w:r>
        <w:rPr>
          <w:b/>
          <w:bCs/>
        </w:rPr>
        <w:t xml:space="preserve">, are you?"</w:t>
      </w:r>
      <w:r>
        <w:br/>
      </w:r>
      <w:r>
        <w:rPr>
          <w:b/>
          <w:bCs/>
        </w:rPr>
        <w:t xml:space="preserve">  I shook my head as my mouth hung open. ... I had never had black foster parents before.</w:t>
      </w:r>
      <w:r>
        <w:br/>
      </w:r>
      <w:r>
        <w:t xml:space="preserve">    (a) unable to speak</w:t>
      </w:r>
      <w:r>
        <w:br/>
      </w:r>
      <w:r>
        <w:t xml:space="preserve">    (b) extremely shy or insecure</w:t>
      </w:r>
      <w:r>
        <w:br/>
      </w:r>
      <w:r>
        <w:t xml:space="preserve">    (c) having unreasonable beliefs or feelings based on race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every show, Alice and I went back and forth with our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critiques</w:t>
      </w:r>
      <w:r>
        <w:rPr>
          <w:b/>
          <w:bCs/>
        </w:rPr>
        <w:t xml:space="preserve">.</w:t>
      </w:r>
      <w:r>
        <w:br/>
      </w:r>
      <w:r>
        <w:t xml:space="preserve">    (a) examinations and judgments of something</w:t>
      </w:r>
      <w:r>
        <w:br/>
      </w:r>
      <w:r>
        <w:t xml:space="preserve">    (b) learns, discovers, or decides in advance</w:t>
      </w:r>
      <w:r>
        <w:br/>
      </w:r>
      <w:r>
        <w:t xml:space="preserve">    (c) keeps away (chooses not to do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pushing 16 and did not know how to cook for myself. Alice assured me that she would teach me when the time came.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persisted</w:t>
      </w:r>
      <w:r>
        <w:rPr>
          <w:b/>
          <w:bCs/>
        </w:rPr>
        <w:t xml:space="preserve">. I wanted to learn how to cook now.</w:t>
      </w:r>
      <w:r>
        <w:br/>
      </w:r>
      <w:r>
        <w:t xml:space="preserve">    (a) waited patiently</w:t>
      </w:r>
      <w:r>
        <w:br/>
      </w:r>
      <w:r>
        <w:t xml:space="preserve">    (b) departed (left)</w:t>
      </w:r>
      <w:r>
        <w:br/>
      </w:r>
      <w:r>
        <w:t xml:space="preserve">    (c) continued despite obstacles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immaculate</w:t>
      </w:r>
      <w:r>
        <w:rPr>
          <w:b/>
          <w:bCs/>
        </w:rPr>
        <w:t xml:space="preserve"> </w:t>
      </w:r>
      <w:r>
        <w:rPr>
          <w:b/>
          <w:bCs/>
        </w:rPr>
        <w:t xml:space="preserve">houses looked more like miniature mansions than ordinary homes,</w:t>
      </w:r>
      <w:r>
        <w:br/>
      </w:r>
      <w:r>
        <w:t xml:space="preserve">    (a) messy or dirty</w:t>
      </w:r>
      <w:r>
        <w:br/>
      </w:r>
      <w:r>
        <w:t xml:space="preserve">    (b) perfect (without fault or error)</w:t>
      </w:r>
      <w:r>
        <w:br/>
      </w:r>
      <w:r>
        <w:t xml:space="preserve">    (c) immense (very large)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climax</w:t>
      </w:r>
      <w:r>
        <w:rPr>
          <w:b/>
          <w:bCs/>
        </w:rPr>
        <w:t xml:space="preserve"> </w:t>
      </w:r>
      <w:r>
        <w:rPr>
          <w:b/>
          <w:bCs/>
        </w:rPr>
        <w:t xml:space="preserve">of the film was to have Dr. Strange, played by Dave, drag Bond up and down the street while Paul filmed from all angles.</w:t>
      </w:r>
      <w:r>
        <w:br/>
      </w:r>
      <w:r>
        <w:t xml:space="preserve">    (a) "spiritually renew" (a person) in a Christian ceremony  OR  initiate or purify by a challenging experience</w:t>
      </w:r>
      <w:r>
        <w:br/>
      </w:r>
      <w:r>
        <w:t xml:space="preserve">    (b) treat something in an educated, intellectual way -- often excluding emotional or practical considerations</w:t>
      </w:r>
      <w:r>
        <w:br/>
      </w:r>
      <w:r>
        <w:t xml:space="preserve">    (c) the most exciting or important part of a story, musical piece, or other thing that has a series of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times I'd help Sandra with her housework, as I learned other ways to become self-</w:t>
      </w:r>
      <w:r>
        <w:rPr>
          <w:b/>
          <w:bCs/>
          <w:u w:val="single"/>
        </w:rPr>
        <w:t xml:space="preserve">sufficient</w:t>
      </w:r>
      <w:r>
        <w:rPr>
          <w:b/>
          <w:bCs/>
        </w:rPr>
        <w:t xml:space="preserve">.</w:t>
      </w:r>
      <w:r>
        <w:br/>
      </w:r>
      <w:r>
        <w:t xml:space="preserve">    (a) in a manner of taking on or adopting power or responsibility</w:t>
      </w:r>
      <w:r>
        <w:br/>
      </w:r>
      <w:r>
        <w:t xml:space="preserve">    (b) adequate</w:t>
      </w:r>
      <w:r>
        <w:br/>
      </w:r>
      <w:r>
        <w:t xml:space="preserve">    (c) producing a stream of atomic particles through nuclear decay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2026-05-20T13:15:29Z</dcterms:created>
  <dcterms:modified xsi:type="dcterms:W3CDTF">2026-05-20T13:15:29Z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