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a28f95f1ca97551181fc186ca0881ee6173842b"/>
    <w:p>
      <w:pPr>
        <w:pStyle w:val="Heading1"/>
      </w:pPr>
      <w:r>
        <w:rPr>
          <w:b/>
          <w:bCs/>
        </w:rPr>
        <w:t xml:space="preserve">A Living Nightmare</w:t>
      </w:r>
      <w:r>
        <w:br/>
      </w:r>
      <w:r>
        <w:rPr>
          <w:i/>
          <w:iCs/>
        </w:rPr>
        <w:t xml:space="preserve">Darren Shan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was feared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despised</w:t>
      </w:r>
      <w:r>
        <w:rPr>
          <w:b/>
          <w:bCs/>
        </w:rPr>
        <w:t xml:space="preserve"> </w:t>
      </w:r>
      <w:r>
        <w:rPr>
          <w:b/>
          <w:bCs/>
        </w:rPr>
        <w:t xml:space="preserve">everywhere he went.</w:t>
      </w:r>
      <w:r>
        <w:br/>
      </w:r>
      <w:r>
        <w:t xml:space="preserve">    (a) disliked strongly and looked down upon</w:t>
      </w:r>
      <w:r>
        <w:br/>
      </w:r>
      <w:r>
        <w:t xml:space="preserve">    (b) not good at concentrating on one thing</w:t>
      </w:r>
      <w:r>
        <w:br/>
      </w:r>
      <w:r>
        <w:t xml:space="preserve">    (c) adjusted a lens to make an image clear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was so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immersed</w:t>
      </w:r>
      <w:r>
        <w:rPr>
          <w:b/>
          <w:bCs/>
        </w:rPr>
        <w:t xml:space="preserve">, I forgot about...</w:t>
      </w:r>
      <w:r>
        <w:br/>
      </w:r>
      <w:r>
        <w:t xml:space="preserve">    (a) nervous or confused</w:t>
      </w:r>
      <w:r>
        <w:br/>
      </w:r>
      <w:r>
        <w:t xml:space="preserve">    (b) excessively excited</w:t>
      </w:r>
      <w:r>
        <w:br/>
      </w:r>
      <w:r>
        <w:t xml:space="preserve">    (c) completely involved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"I didn't say that," 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contradicted</w:t>
      </w:r>
      <w:r>
        <w:rPr>
          <w:b/>
          <w:bCs/>
        </w:rPr>
        <w:t xml:space="preserve"> </w:t>
      </w:r>
      <w:r>
        <w:rPr>
          <w:b/>
          <w:bCs/>
        </w:rPr>
        <w:t xml:space="preserve">me.</w:t>
      </w:r>
      <w:r>
        <w:br/>
      </w:r>
      <w:r>
        <w:t xml:space="preserve">    (a) separated</w:t>
      </w:r>
      <w:r>
        <w:br/>
      </w:r>
      <w:r>
        <w:t xml:space="preserve">    (b) satisfied</w:t>
      </w:r>
      <w:r>
        <w:br/>
      </w:r>
      <w:r>
        <w:t xml:space="preserve">    (c) disagreed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venue</w:t>
      </w:r>
      <w:r>
        <w:rPr>
          <w:b/>
          <w:bCs/>
        </w:rPr>
        <w:t xml:space="preserve"> </w:t>
      </w:r>
      <w:r>
        <w:rPr>
          <w:b/>
          <w:bCs/>
        </w:rPr>
        <w:t xml:space="preserve">was an old theater that used to show movies.</w:t>
      </w:r>
      <w:r>
        <w:br/>
      </w:r>
      <w:r>
        <w:t xml:space="preserve">    (a) a highly educated person interested in learning and exploring ideas -- sometimes while ignoring practical considerations</w:t>
      </w:r>
      <w:r>
        <w:br/>
      </w:r>
      <w:r>
        <w:t xml:space="preserve">    (b) event location -- especially a performance, meeting, or gathering</w:t>
      </w:r>
      <w:r>
        <w:br/>
      </w:r>
      <w:r>
        <w:br/>
      </w:r>
      <w:r>
        <w:t xml:space="preserve">or:</w:t>
      </w:r>
      <w:r>
        <w:br/>
      </w:r>
      <w:r>
        <w:br/>
      </w:r>
      <w:r>
        <w:t xml:space="preserve">law:  the jurisdiction where a trial will be held</w:t>
      </w:r>
      <w:r>
        <w:br/>
      </w:r>
      <w:r>
        <w:t xml:space="preserve">    (c) an subatomic particle with negative charge that is found in all atoms and that acts as the primary carrier of electricity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walked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hypnotized</w:t>
      </w:r>
      <w:r>
        <w:rPr>
          <w:b/>
          <w:bCs/>
        </w:rPr>
        <w:t xml:space="preserve"> </w:t>
      </w:r>
      <w:r>
        <w:rPr>
          <w:b/>
          <w:bCs/>
        </w:rPr>
        <w:t xml:space="preserve">wolf-man through the theater</w:t>
      </w:r>
      <w:r>
        <w:br/>
      </w:r>
      <w:r>
        <w:t xml:space="preserve">    (a) in a trance-like state of heightened suggestibility</w:t>
      </w:r>
      <w:r>
        <w:br/>
      </w:r>
      <w:r>
        <w:t xml:space="preserve">    (b) disappointed from losing false belief that something is better than it is; or the removal of such a belief</w:t>
      </w:r>
      <w:r>
        <w:br/>
      </w:r>
      <w:r>
        <w:t xml:space="preserve">    (c) roughly calculated or guessed (based on incomplete information) a value, quantity, or extent of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theme</w:t>
      </w:r>
      <w:r>
        <w:rPr>
          <w:b/>
          <w:bCs/>
        </w:rPr>
        <w:t xml:space="preserve"> </w:t>
      </w:r>
      <w:r>
        <w:rPr>
          <w:b/>
          <w:bCs/>
        </w:rPr>
        <w:t xml:space="preserve">tunes from a few popular TV shows</w:t>
      </w:r>
      <w:r>
        <w:br/>
      </w:r>
      <w:r>
        <w:t xml:space="preserve">    (a) primary melody</w:t>
      </w:r>
      <w:r>
        <w:br/>
      </w:r>
      <w:r>
        <w:t xml:space="preserve">    (b) treat in a manner that demonstrates a sense of superiority, but is supposed to seem kind  OR  the actions of a patron (to support someone or something; or to be a customer)</w:t>
      </w:r>
      <w:r>
        <w:br/>
      </w:r>
      <w:r>
        <w:t xml:space="preserve">    (c) (verb) to intentionally anger, challenge, or upset someone -- especially by mocking them or hurling insults  OR  (noun) an insult or other action intended to anger, challenge, or upset someone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none of the books mentioned performing spiders, or ones with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telepathic</w:t>
      </w:r>
      <w:r>
        <w:rPr>
          <w:b/>
          <w:bCs/>
        </w:rPr>
        <w:t xml:space="preserve"> </w:t>
      </w:r>
      <w:r>
        <w:rPr>
          <w:b/>
          <w:bCs/>
        </w:rPr>
        <w:t xml:space="preserve">powers.</w:t>
      </w:r>
      <w:r>
        <w:br/>
      </w:r>
      <w:r>
        <w:t xml:space="preserve">    (a) (adjective) of low quality, or of lower quality or rank than something else  OR  (more rarely as a noun) a person of lower rank or status</w:t>
      </w:r>
      <w:r>
        <w:br/>
      </w:r>
      <w:r>
        <w:t xml:space="preserve">    (b) communication from one mind to another without using the known senses (often used in fiction but not scientifically supported as real)</w:t>
      </w:r>
      <w:r>
        <w:br/>
      </w:r>
      <w:r>
        <w:t xml:space="preserve">    (c) related to an economic system based on voluntary exchange in a competitive environment with private ownership of property and businesses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asked,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bewildered</w:t>
      </w:r>
      <w:r>
        <w:rPr>
          <w:b/>
          <w:bCs/>
        </w:rPr>
        <w:t xml:space="preserve">.</w:t>
      </w:r>
      <w:r>
        <w:br/>
      </w:r>
      <w:r>
        <w:t xml:space="preserve">    (a) confused</w:t>
      </w:r>
      <w:r>
        <w:br/>
      </w:r>
      <w:r>
        <w:t xml:space="preserve">    (b) restored</w:t>
      </w:r>
      <w:r>
        <w:br/>
      </w:r>
      <w:r>
        <w:t xml:space="preserve">    (c) collided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...by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sheer</w:t>
      </w:r>
      <w:r>
        <w:rPr>
          <w:b/>
          <w:bCs/>
        </w:rPr>
        <w:t xml:space="preserve"> </w:t>
      </w:r>
      <w:r>
        <w:rPr>
          <w:b/>
          <w:bCs/>
        </w:rPr>
        <w:t xml:space="preserve">bad luck, she happened to barge in.</w:t>
      </w:r>
      <w:r>
        <w:br/>
      </w:r>
      <w:r>
        <w:t xml:space="preserve">    (a) pure -- without other reasons</w:t>
      </w:r>
      <w:r>
        <w:br/>
      </w:r>
      <w:r>
        <w:t xml:space="preserve">    (b) more religious; or having more enthusiastic support (for something)</w:t>
      </w:r>
      <w:r>
        <w:br/>
      </w:r>
      <w:r>
        <w:t xml:space="preserve">    (c) more trustworthy with secrets and/or less conspicuous or obtrusive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"They sounded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optimistic</w:t>
      </w:r>
      <w:r>
        <w:rPr>
          <w:b/>
          <w:bCs/>
        </w:rPr>
        <w:t xml:space="preserve">," she said.</w:t>
      </w:r>
      <w:r>
        <w:br/>
      </w:r>
      <w:r>
        <w:t xml:space="preserve">    (a) relating separately to the people or things just mentioned</w:t>
      </w:r>
      <w:r>
        <w:br/>
      </w:r>
      <w:r>
        <w:t xml:space="preserve">    (b) in a manner of accepting something as true (without proof)</w:t>
      </w:r>
      <w:r>
        <w:br/>
      </w:r>
      <w:r>
        <w:t xml:space="preserve">    (c) expecting the best; or focusing on the good part of things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Back then I could tell myself that he didn't know who I was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therefore</w:t>
      </w:r>
      <w:r>
        <w:rPr>
          <w:b/>
          <w:bCs/>
        </w:rPr>
        <w:t xml:space="preserve"> </w:t>
      </w:r>
      <w:r>
        <w:rPr>
          <w:b/>
          <w:bCs/>
        </w:rPr>
        <w:t xml:space="preserve">couldn't find me.</w:t>
      </w:r>
      <w:r>
        <w:br/>
      </w:r>
      <w:r>
        <w:t xml:space="preserve">    (a) despite that (used to connect contrasting ideas)</w:t>
      </w:r>
      <w:r>
        <w:br/>
      </w:r>
      <w:r>
        <w:t xml:space="preserve">    (b) even though -- used to connect contrasting ideas</w:t>
      </w:r>
      <w:r>
        <w:br/>
      </w:r>
      <w:r>
        <w:t xml:space="preserve">    (c) for that reason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This was the closest to him I'd been and I expected to spot all sorts of details — red teeth, long ears, narrow eyes — but he looked like a normal human,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albeit</w:t>
      </w:r>
      <w:r>
        <w:rPr>
          <w:b/>
          <w:bCs/>
        </w:rPr>
        <w:t xml:space="preserve"> </w:t>
      </w:r>
      <w:r>
        <w:rPr>
          <w:b/>
          <w:bCs/>
        </w:rPr>
        <w:t xml:space="preserve">a tremendously ugly one.</w:t>
      </w:r>
      <w:r>
        <w:br/>
      </w:r>
      <w:r>
        <w:t xml:space="preserve">    (a) therefore (for that reason)</w:t>
      </w:r>
      <w:r>
        <w:br/>
      </w:r>
      <w:r>
        <w:t xml:space="preserve">    (b) in keeping with or in agreement with what was just stated</w:t>
      </w:r>
      <w:r>
        <w:br/>
      </w:r>
      <w:r>
        <w:t xml:space="preserve">    (c) although (used to introduce a phrase that reduces or modifies the effect of what preceded it)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“Perhaps,” Mr. Crepsley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mused</w:t>
      </w:r>
      <w:r>
        <w:rPr>
          <w:b/>
          <w:bCs/>
        </w:rPr>
        <w:t xml:space="preserve">, tugging at his chin and stroking his scar.</w:t>
      </w:r>
      <w:r>
        <w:br/>
      </w:r>
      <w:r>
        <w:t xml:space="preserve">    (a) expelled or gotten rid of</w:t>
      </w:r>
      <w:r>
        <w:br/>
      </w:r>
      <w:r>
        <w:t xml:space="preserve">    (b) thought (reflected deeply on a subject)</w:t>
      </w:r>
      <w:r>
        <w:br/>
      </w:r>
      <w:r>
        <w:t xml:space="preserve">    (c) was abundant or plentiful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sighed, beating him to the punch, and his dark,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sinister</w:t>
      </w:r>
      <w:r>
        <w:rPr>
          <w:b/>
          <w:bCs/>
        </w:rPr>
        <w:t xml:space="preserve"> </w:t>
      </w:r>
      <w:r>
        <w:rPr>
          <w:b/>
          <w:bCs/>
        </w:rPr>
        <w:t xml:space="preserve">smile told me I was right.</w:t>
      </w:r>
      <w:r>
        <w:br/>
      </w:r>
      <w:r>
        <w:t xml:space="preserve">    (a) not thoughtful about the past</w:t>
      </w:r>
      <w:r>
        <w:br/>
      </w:r>
      <w:r>
        <w:t xml:space="preserve">    (b) evil, harmful, or frightening</w:t>
      </w:r>
      <w:r>
        <w:br/>
      </w:r>
      <w:r>
        <w:t xml:space="preserve">    (c) not able to be disagreed with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You will find food for me if it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scarce</w:t>
      </w:r>
      <w:r>
        <w:rPr>
          <w:b/>
          <w:bCs/>
        </w:rPr>
        <w:t xml:space="preserve">.</w:t>
      </w:r>
      <w:r>
        <w:br/>
      </w:r>
      <w:r>
        <w:t xml:space="preserve">    (a) a state similar to sleep where one is unaware of anything</w:t>
      </w:r>
      <w:r>
        <w:br/>
      </w:r>
      <w:r>
        <w:t xml:space="preserve">    (b) the state of not being aware or concerned about something</w:t>
      </w:r>
      <w:r>
        <w:br/>
      </w:r>
      <w:r>
        <w:t xml:space="preserve">    (c) in short supply  OR  barely or hardly (by a small margin)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If he does not get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antidote</w:t>
      </w:r>
      <w:r>
        <w:rPr>
          <w:b/>
          <w:bCs/>
        </w:rPr>
        <w:t xml:space="preserve"> </w:t>
      </w:r>
      <w:r>
        <w:rPr>
          <w:b/>
          <w:bCs/>
        </w:rPr>
        <w:t xml:space="preserve">before tomorrow morning, the serum will not work.</w:t>
      </w:r>
      <w:r>
        <w:br/>
      </w:r>
      <w:r>
        <w:t xml:space="preserve">    (a) poison</w:t>
      </w:r>
      <w:r>
        <w:br/>
      </w:r>
      <w:r>
        <w:t xml:space="preserve">    (b) toxin</w:t>
      </w:r>
      <w:r>
        <w:br/>
      </w:r>
      <w:r>
        <w:t xml:space="preserve">    (c) cure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"I have to throw you hard enough to make it look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genuine</w:t>
      </w:r>
      <w:r>
        <w:rPr>
          <w:b/>
          <w:bCs/>
        </w:rPr>
        <w:t xml:space="preserve">," he said.</w:t>
      </w:r>
      <w:r>
        <w:br/>
      </w:r>
      <w:r>
        <w:t xml:space="preserve">    (a) lazy</w:t>
      </w:r>
      <w:r>
        <w:br/>
      </w:r>
      <w:r>
        <w:t xml:space="preserve">    (b) city</w:t>
      </w:r>
      <w:r>
        <w:br/>
      </w:r>
      <w:r>
        <w:t xml:space="preserve">    (c) real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said they still had Annie and could maybe have another child or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adopt</w:t>
      </w:r>
      <w:r>
        <w:rPr>
          <w:b/>
          <w:bCs/>
        </w:rPr>
        <w:t xml:space="preserve"> </w:t>
      </w:r>
      <w:r>
        <w:rPr>
          <w:b/>
          <w:bCs/>
        </w:rPr>
        <w:t xml:space="preserve">one.</w:t>
      </w:r>
      <w:r>
        <w:br/>
      </w:r>
      <w:r>
        <w:t xml:space="preserve">    (a) begin fighting again</w:t>
      </w:r>
      <w:r>
        <w:br/>
      </w:r>
      <w:r>
        <w:t xml:space="preserve">    (b) recognize difference</w:t>
      </w:r>
      <w:r>
        <w:br/>
      </w:r>
      <w:r>
        <w:t xml:space="preserve">    (c) take on as one's own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"But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heed</w:t>
      </w:r>
      <w:r>
        <w:rPr>
          <w:b/>
          <w:bCs/>
        </w:rPr>
        <w:t xml:space="preserve"> </w:t>
      </w:r>
      <w:r>
        <w:rPr>
          <w:b/>
          <w:bCs/>
        </w:rPr>
        <w:t xml:space="preserve">this, Darren Shan," he said.</w:t>
      </w:r>
      <w:r>
        <w:br/>
      </w:r>
      <w:r>
        <w:t xml:space="preserve">    (a) a non-doctor who assisted a women in childbirth</w:t>
      </w:r>
      <w:r>
        <w:br/>
      </w:r>
      <w:r>
        <w:t xml:space="preserve">    (b) pay close attention to; or do what is suggested</w:t>
      </w:r>
      <w:r>
        <w:br/>
      </w:r>
      <w:r>
        <w:t xml:space="preserve">    (c) adjusted excessively or made up for excessively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You and your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mentor</w:t>
      </w:r>
      <w:r>
        <w:rPr>
          <w:b/>
          <w:bCs/>
        </w:rPr>
        <w:t xml:space="preserve">.</w:t>
      </w:r>
      <w:r>
        <w:br/>
      </w:r>
      <w:r>
        <w:t xml:space="preserve">    (a) someone who guides and advises another who is less experienced; or the act of providing such guidance</w:t>
      </w:r>
      <w:r>
        <w:br/>
      </w:r>
      <w:r>
        <w:t xml:space="preserve">    (b) to gradually destroy or change the purpose of something -- such as a government, institution, or rule</w:t>
      </w:r>
      <w:r>
        <w:br/>
      </w:r>
      <w:r>
        <w:t xml:space="preserve">    (c) a beam, bracket, or other structure supported only on one side; or to support something in that manner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2026-05-20T12:29:49Z</dcterms:created>
  <dcterms:modified xsi:type="dcterms:W3CDTF">2026-05-20T12:29:49Z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